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246C1" w14:textId="38DD785F" w:rsidR="00525BDC" w:rsidRPr="00205B30" w:rsidRDefault="00525BDC" w:rsidP="00525BDC">
      <w:pPr>
        <w:spacing w:after="0" w:line="240" w:lineRule="auto"/>
        <w:jc w:val="right"/>
        <w:rPr>
          <w:rFonts w:ascii="Arial" w:hAnsi="Arial" w:cs="Arial"/>
          <w:i/>
          <w:iCs/>
          <w:sz w:val="20"/>
          <w:szCs w:val="20"/>
          <w:lang w:val="en-US"/>
        </w:rPr>
      </w:pPr>
      <w:r w:rsidRPr="00205B30">
        <w:rPr>
          <w:rFonts w:ascii="Arial" w:hAnsi="Arial" w:cs="Arial"/>
          <w:i/>
          <w:iCs/>
          <w:sz w:val="20"/>
          <w:szCs w:val="20"/>
          <w:lang w:val="en-US"/>
        </w:rPr>
        <w:t>Annex</w:t>
      </w:r>
      <w:r>
        <w:rPr>
          <w:rFonts w:ascii="Arial" w:hAnsi="Arial" w:cs="Arial"/>
          <w:i/>
          <w:iCs/>
          <w:sz w:val="20"/>
          <w:szCs w:val="20"/>
          <w:lang w:val="en-US"/>
        </w:rPr>
        <w:t xml:space="preserve"> No. 4</w:t>
      </w:r>
      <w:r w:rsidRPr="00205B30">
        <w:rPr>
          <w:rFonts w:ascii="Arial" w:hAnsi="Arial" w:cs="Arial"/>
          <w:i/>
          <w:iCs/>
          <w:sz w:val="20"/>
          <w:szCs w:val="20"/>
          <w:lang w:val="en-US"/>
        </w:rPr>
        <w:t xml:space="preserve"> to the SPC</w:t>
      </w:r>
    </w:p>
    <w:p w14:paraId="71779C83" w14:textId="77777777" w:rsidR="00D4575F" w:rsidRDefault="00D4575F" w:rsidP="00D4575F">
      <w:pPr>
        <w:tabs>
          <w:tab w:val="left" w:pos="480"/>
        </w:tabs>
        <w:spacing w:after="0" w:line="240" w:lineRule="auto"/>
        <w:jc w:val="center"/>
        <w:rPr>
          <w:rFonts w:ascii="Arial" w:hAnsi="Arial" w:cs="Arial"/>
          <w:b/>
          <w:bCs/>
          <w:sz w:val="20"/>
          <w:szCs w:val="20"/>
        </w:rPr>
      </w:pPr>
    </w:p>
    <w:p w14:paraId="330A54EC" w14:textId="2018C62E" w:rsidR="00D4575F" w:rsidRPr="002E166D" w:rsidRDefault="00D4575F" w:rsidP="00D4575F">
      <w:pPr>
        <w:tabs>
          <w:tab w:val="left" w:pos="480"/>
        </w:tabs>
        <w:spacing w:after="0" w:line="240" w:lineRule="auto"/>
        <w:jc w:val="center"/>
        <w:rPr>
          <w:rFonts w:ascii="Arial" w:hAnsi="Arial" w:cs="Arial"/>
          <w:b/>
          <w:bCs/>
          <w:sz w:val="20"/>
          <w:szCs w:val="20"/>
        </w:rPr>
      </w:pPr>
      <w:r w:rsidRPr="002E166D">
        <w:rPr>
          <w:rFonts w:ascii="Arial" w:hAnsi="Arial" w:cs="Arial"/>
          <w:b/>
          <w:bCs/>
          <w:sz w:val="20"/>
          <w:szCs w:val="20"/>
        </w:rPr>
        <w:t>METHODOLOGY FOR EVALUATING ECONOMIC ADVANTAGE</w:t>
      </w:r>
    </w:p>
    <w:p w14:paraId="520D9E2F" w14:textId="77777777" w:rsidR="00D6090D" w:rsidRPr="00D6090D" w:rsidRDefault="00D6090D" w:rsidP="00B9305B">
      <w:pPr>
        <w:tabs>
          <w:tab w:val="left" w:pos="480"/>
        </w:tabs>
        <w:spacing w:after="0" w:line="240" w:lineRule="auto"/>
        <w:jc w:val="center"/>
        <w:rPr>
          <w:rFonts w:ascii="Arial" w:hAnsi="Arial" w:cs="Arial"/>
          <w:b/>
          <w:bCs/>
          <w:sz w:val="20"/>
          <w:szCs w:val="20"/>
        </w:rPr>
      </w:pPr>
    </w:p>
    <w:p w14:paraId="4C881F01" w14:textId="77777777" w:rsidR="00AC46E0" w:rsidRPr="002E166D" w:rsidRDefault="00AC46E0" w:rsidP="00AC46E0">
      <w:pPr>
        <w:numPr>
          <w:ilvl w:val="0"/>
          <w:numId w:val="1"/>
        </w:numPr>
        <w:tabs>
          <w:tab w:val="left" w:pos="284"/>
          <w:tab w:val="left" w:pos="426"/>
        </w:tabs>
        <w:spacing w:after="0" w:line="240" w:lineRule="auto"/>
        <w:ind w:left="0" w:firstLine="0"/>
        <w:jc w:val="both"/>
        <w:rPr>
          <w:rFonts w:ascii="Arial" w:hAnsi="Arial" w:cs="Arial"/>
          <w:sz w:val="20"/>
          <w:szCs w:val="20"/>
          <w:lang w:val="en-GB"/>
        </w:rPr>
      </w:pPr>
      <w:r w:rsidRPr="002E166D">
        <w:rPr>
          <w:rFonts w:ascii="Arial" w:eastAsia="Arial" w:hAnsi="Arial" w:cs="Arial"/>
          <w:sz w:val="20"/>
          <w:szCs w:val="20"/>
          <w:lang w:val="en-GB" w:bidi="en-US"/>
        </w:rPr>
        <w:t>This Annex provides evaluation criteria for determining the most economically advantageous Tender, their parameters, relative weights, formulas, which are used to calculate the economic advantage of Tenders, description of expert evaluation methodology.</w:t>
      </w:r>
    </w:p>
    <w:p w14:paraId="556977C3" w14:textId="77777777" w:rsidR="005F6E5B" w:rsidRPr="00AA6FC4" w:rsidRDefault="005F6E5B" w:rsidP="005F6E5B">
      <w:pPr>
        <w:spacing w:after="0" w:line="240" w:lineRule="auto"/>
        <w:ind w:left="284"/>
        <w:jc w:val="both"/>
        <w:rPr>
          <w:rFonts w:ascii="Arial" w:hAnsi="Arial" w:cs="Arial"/>
          <w:sz w:val="20"/>
          <w:szCs w:val="20"/>
        </w:rPr>
      </w:pPr>
    </w:p>
    <w:p w14:paraId="40C5A09B" w14:textId="77777777" w:rsidR="0023493B" w:rsidRPr="002E166D" w:rsidRDefault="0023493B" w:rsidP="0023493B">
      <w:pPr>
        <w:spacing w:after="0" w:line="240" w:lineRule="auto"/>
        <w:jc w:val="right"/>
        <w:rPr>
          <w:rFonts w:ascii="Arial" w:eastAsia="Arial" w:hAnsi="Arial" w:cs="Arial"/>
          <w:i/>
          <w:sz w:val="20"/>
          <w:szCs w:val="20"/>
          <w:lang w:val="en-GB" w:bidi="en-US"/>
        </w:rPr>
      </w:pPr>
      <w:r w:rsidRPr="002E166D">
        <w:rPr>
          <w:rFonts w:ascii="Arial" w:eastAsia="Arial" w:hAnsi="Arial" w:cs="Arial"/>
          <w:i/>
          <w:sz w:val="20"/>
          <w:szCs w:val="20"/>
          <w:lang w:val="en-GB" w:bidi="en-US"/>
        </w:rPr>
        <w:t>Table 1. Tender evaluation criteria and comparison values</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6944"/>
        <w:gridCol w:w="2012"/>
      </w:tblGrid>
      <w:tr w:rsidR="005F6E5B" w:rsidRPr="00AA6FC4" w14:paraId="6E5466FE" w14:textId="77777777" w:rsidTr="00E17165">
        <w:trPr>
          <w:cantSplit/>
          <w:tblHeader/>
          <w:jc w:val="center"/>
        </w:trPr>
        <w:tc>
          <w:tcPr>
            <w:tcW w:w="295" w:type="pct"/>
            <w:shd w:val="clear" w:color="auto" w:fill="D9D9D9"/>
            <w:vAlign w:val="center"/>
          </w:tcPr>
          <w:p w14:paraId="6F6B6ADF" w14:textId="057F3989" w:rsidR="005F6E5B" w:rsidRPr="00AA6FC4" w:rsidRDefault="00A51779" w:rsidP="00E17165">
            <w:pPr>
              <w:tabs>
                <w:tab w:val="num" w:pos="1080"/>
                <w:tab w:val="left" w:pos="7655"/>
              </w:tabs>
              <w:spacing w:after="0" w:line="240" w:lineRule="auto"/>
              <w:ind w:left="29"/>
              <w:contextualSpacing/>
              <w:jc w:val="center"/>
              <w:rPr>
                <w:rFonts w:ascii="Arial" w:hAnsi="Arial" w:cs="Arial"/>
                <w:b/>
                <w:noProof/>
                <w:sz w:val="20"/>
                <w:szCs w:val="20"/>
              </w:rPr>
            </w:pPr>
            <w:r w:rsidRPr="002E166D">
              <w:rPr>
                <w:rFonts w:ascii="Arial" w:hAnsi="Arial" w:cs="Arial"/>
                <w:b/>
                <w:bCs/>
                <w:iCs/>
                <w:sz w:val="20"/>
                <w:szCs w:val="20"/>
                <w:lang w:val="en-GB"/>
              </w:rPr>
              <w:t>No.</w:t>
            </w:r>
          </w:p>
        </w:tc>
        <w:tc>
          <w:tcPr>
            <w:tcW w:w="3647" w:type="pct"/>
            <w:shd w:val="clear" w:color="auto" w:fill="D9D9D9"/>
            <w:vAlign w:val="center"/>
          </w:tcPr>
          <w:p w14:paraId="06EFCE6C" w14:textId="121E8CA5" w:rsidR="005F6E5B" w:rsidRPr="00AA6FC4" w:rsidRDefault="00750ED4" w:rsidP="00E17165">
            <w:pPr>
              <w:tabs>
                <w:tab w:val="num" w:pos="1080"/>
                <w:tab w:val="left" w:pos="7655"/>
              </w:tabs>
              <w:spacing w:after="0" w:line="240" w:lineRule="auto"/>
              <w:contextualSpacing/>
              <w:jc w:val="center"/>
              <w:rPr>
                <w:rFonts w:ascii="Arial" w:hAnsi="Arial" w:cs="Arial"/>
                <w:b/>
                <w:bCs/>
                <w:noProof/>
                <w:sz w:val="20"/>
                <w:szCs w:val="20"/>
              </w:rPr>
            </w:pPr>
            <w:r w:rsidRPr="002E166D">
              <w:rPr>
                <w:rFonts w:ascii="Arial" w:eastAsia="Arial" w:hAnsi="Arial" w:cs="Arial"/>
                <w:b/>
                <w:bCs/>
                <w:sz w:val="20"/>
                <w:szCs w:val="20"/>
                <w:lang w:val="en-GB" w:bidi="en-US"/>
              </w:rPr>
              <w:t>Evaluation criteria and parameters</w:t>
            </w:r>
          </w:p>
        </w:tc>
        <w:tc>
          <w:tcPr>
            <w:tcW w:w="1058" w:type="pct"/>
            <w:shd w:val="clear" w:color="auto" w:fill="D9D9D9"/>
            <w:vAlign w:val="center"/>
          </w:tcPr>
          <w:p w14:paraId="38CEBDCE" w14:textId="185DD83C" w:rsidR="005F6E5B" w:rsidRPr="00AA6FC4" w:rsidRDefault="00B92852" w:rsidP="00E17165">
            <w:pPr>
              <w:tabs>
                <w:tab w:val="num" w:pos="1080"/>
                <w:tab w:val="left" w:pos="7655"/>
              </w:tabs>
              <w:spacing w:after="0" w:line="240" w:lineRule="auto"/>
              <w:contextualSpacing/>
              <w:jc w:val="center"/>
              <w:rPr>
                <w:rFonts w:ascii="Arial" w:hAnsi="Arial" w:cs="Arial"/>
                <w:b/>
                <w:noProof/>
                <w:sz w:val="20"/>
                <w:szCs w:val="20"/>
              </w:rPr>
            </w:pPr>
            <w:r w:rsidRPr="002E166D">
              <w:rPr>
                <w:rFonts w:ascii="Arial" w:eastAsia="Arial" w:hAnsi="Arial" w:cs="Arial"/>
                <w:b/>
                <w:bCs/>
                <w:color w:val="000000"/>
                <w:sz w:val="20"/>
                <w:szCs w:val="20"/>
                <w:lang w:val="en-GB" w:bidi="en-US"/>
              </w:rPr>
              <w:t>Relative weight in the evaluation of economic advantage</w:t>
            </w:r>
          </w:p>
        </w:tc>
      </w:tr>
      <w:tr w:rsidR="005F6E5B" w:rsidRPr="00AA6FC4" w14:paraId="61744CCC" w14:textId="77777777" w:rsidTr="00E17165">
        <w:trPr>
          <w:cantSplit/>
          <w:trHeight w:val="737"/>
          <w:jc w:val="center"/>
        </w:trPr>
        <w:tc>
          <w:tcPr>
            <w:tcW w:w="295" w:type="pct"/>
            <w:shd w:val="clear" w:color="auto" w:fill="D9D9D9"/>
            <w:vAlign w:val="center"/>
          </w:tcPr>
          <w:p w14:paraId="37001257" w14:textId="77777777" w:rsidR="005F6E5B" w:rsidRPr="00AA6FC4" w:rsidRDefault="005F6E5B" w:rsidP="00E17165">
            <w:pPr>
              <w:tabs>
                <w:tab w:val="num" w:pos="1080"/>
                <w:tab w:val="left" w:pos="7655"/>
              </w:tabs>
              <w:spacing w:after="0" w:line="240" w:lineRule="auto"/>
              <w:ind w:left="27"/>
              <w:contextualSpacing/>
              <w:jc w:val="center"/>
              <w:rPr>
                <w:rFonts w:ascii="Arial" w:hAnsi="Arial" w:cs="Arial"/>
                <w:b/>
                <w:noProof/>
                <w:sz w:val="20"/>
                <w:szCs w:val="20"/>
              </w:rPr>
            </w:pPr>
            <w:r w:rsidRPr="00AA6FC4">
              <w:rPr>
                <w:rFonts w:ascii="Arial" w:hAnsi="Arial" w:cs="Arial"/>
                <w:b/>
                <w:noProof/>
                <w:sz w:val="20"/>
                <w:szCs w:val="20"/>
              </w:rPr>
              <w:t>1.</w:t>
            </w:r>
          </w:p>
        </w:tc>
        <w:tc>
          <w:tcPr>
            <w:tcW w:w="3647" w:type="pct"/>
            <w:vAlign w:val="center"/>
          </w:tcPr>
          <w:p w14:paraId="439BB5E9" w14:textId="77777777" w:rsidR="0052305F" w:rsidRDefault="0052305F" w:rsidP="00E17165">
            <w:pPr>
              <w:tabs>
                <w:tab w:val="num" w:pos="1080"/>
                <w:tab w:val="left" w:pos="7655"/>
              </w:tabs>
              <w:spacing w:after="0" w:line="240" w:lineRule="auto"/>
              <w:contextualSpacing/>
              <w:jc w:val="both"/>
              <w:rPr>
                <w:rFonts w:ascii="Arial" w:eastAsia="Arial" w:hAnsi="Arial" w:cs="Arial"/>
                <w:b/>
                <w:sz w:val="20"/>
                <w:szCs w:val="20"/>
                <w:lang w:val="en-GB" w:bidi="en-US"/>
              </w:rPr>
            </w:pPr>
            <w:r w:rsidRPr="002E166D">
              <w:rPr>
                <w:rFonts w:ascii="Arial" w:eastAsia="Arial" w:hAnsi="Arial" w:cs="Arial"/>
                <w:b/>
                <w:sz w:val="20"/>
                <w:szCs w:val="20"/>
                <w:lang w:val="en-GB" w:bidi="en-US"/>
              </w:rPr>
              <w:t xml:space="preserve">Price of </w:t>
            </w:r>
            <w:r>
              <w:rPr>
                <w:rFonts w:ascii="Arial" w:eastAsia="Arial" w:hAnsi="Arial" w:cs="Arial"/>
                <w:b/>
                <w:sz w:val="20"/>
                <w:szCs w:val="20"/>
                <w:lang w:val="en-GB" w:bidi="en-US"/>
              </w:rPr>
              <w:t>goods</w:t>
            </w:r>
            <w:r w:rsidRPr="002E166D">
              <w:rPr>
                <w:rFonts w:ascii="Arial" w:eastAsia="Arial" w:hAnsi="Arial" w:cs="Arial"/>
                <w:b/>
                <w:sz w:val="20"/>
                <w:szCs w:val="20"/>
                <w:lang w:val="en-GB" w:bidi="en-US"/>
              </w:rPr>
              <w:t xml:space="preserve"> (C)</w:t>
            </w:r>
          </w:p>
          <w:p w14:paraId="71E66A3E" w14:textId="7447CB4F" w:rsidR="005F6E5B" w:rsidRPr="00F57FC7" w:rsidRDefault="00F57FC7" w:rsidP="00E17165">
            <w:pPr>
              <w:tabs>
                <w:tab w:val="num" w:pos="1080"/>
                <w:tab w:val="left" w:pos="7655"/>
              </w:tabs>
              <w:spacing w:after="0" w:line="240" w:lineRule="auto"/>
              <w:contextualSpacing/>
              <w:jc w:val="both"/>
              <w:rPr>
                <w:rFonts w:ascii="Arial" w:hAnsi="Arial" w:cs="Arial"/>
                <w:noProof/>
                <w:sz w:val="20"/>
                <w:szCs w:val="20"/>
                <w:lang w:val="en-GB"/>
              </w:rPr>
            </w:pPr>
            <w:r w:rsidRPr="00F57FC7">
              <w:rPr>
                <w:rFonts w:ascii="Arial" w:hAnsi="Arial" w:cs="Arial"/>
                <w:sz w:val="20"/>
                <w:szCs w:val="20"/>
                <w:lang w:val="en-GB"/>
              </w:rPr>
              <w:t>The price of the Goods is evaluated according to the formula specified in Clause 3 of this methodology, where the highest score for economic efficiency is awarded to the Proposal with the lowest Goods price, and the remaining Proposals are scored proportionally lower.</w:t>
            </w:r>
          </w:p>
        </w:tc>
        <w:tc>
          <w:tcPr>
            <w:tcW w:w="1058" w:type="pct"/>
            <w:vAlign w:val="center"/>
          </w:tcPr>
          <w:p w14:paraId="2F86CD07" w14:textId="1A9CABC5" w:rsidR="005F6E5B" w:rsidRPr="00AA6FC4" w:rsidRDefault="005F6E5B" w:rsidP="00E17165">
            <w:pPr>
              <w:tabs>
                <w:tab w:val="num" w:pos="1080"/>
                <w:tab w:val="left" w:pos="7655"/>
              </w:tabs>
              <w:spacing w:after="0" w:line="240" w:lineRule="auto"/>
              <w:contextualSpacing/>
              <w:jc w:val="center"/>
              <w:rPr>
                <w:rFonts w:ascii="Arial" w:hAnsi="Arial" w:cs="Arial"/>
                <w:b/>
                <w:noProof/>
                <w:sz w:val="20"/>
                <w:szCs w:val="20"/>
              </w:rPr>
            </w:pPr>
            <w:r w:rsidRPr="00AA6FC4">
              <w:rPr>
                <w:rFonts w:ascii="Arial" w:hAnsi="Arial" w:cs="Arial"/>
                <w:b/>
                <w:noProof/>
                <w:sz w:val="20"/>
                <w:szCs w:val="20"/>
              </w:rPr>
              <w:t>X=</w:t>
            </w:r>
            <w:r w:rsidR="00FE342D">
              <w:rPr>
                <w:rFonts w:ascii="Arial" w:hAnsi="Arial" w:cs="Arial"/>
                <w:b/>
                <w:noProof/>
                <w:sz w:val="20"/>
                <w:szCs w:val="20"/>
              </w:rPr>
              <w:t>85</w:t>
            </w:r>
          </w:p>
        </w:tc>
      </w:tr>
      <w:tr w:rsidR="00AA2DF4" w:rsidRPr="00AA6FC4" w14:paraId="463470BA" w14:textId="77777777" w:rsidTr="00E17165">
        <w:trPr>
          <w:cantSplit/>
          <w:trHeight w:val="737"/>
          <w:jc w:val="center"/>
        </w:trPr>
        <w:tc>
          <w:tcPr>
            <w:tcW w:w="295" w:type="pct"/>
            <w:shd w:val="clear" w:color="auto" w:fill="D9D9D9"/>
            <w:vAlign w:val="center"/>
          </w:tcPr>
          <w:p w14:paraId="58C9A494" w14:textId="6C19BD37" w:rsidR="00AA2DF4" w:rsidRPr="00AA6FC4" w:rsidRDefault="00AA2DF4" w:rsidP="00E17165">
            <w:pPr>
              <w:tabs>
                <w:tab w:val="num" w:pos="1080"/>
                <w:tab w:val="left" w:pos="7655"/>
              </w:tabs>
              <w:spacing w:after="0" w:line="240" w:lineRule="auto"/>
              <w:ind w:left="27"/>
              <w:contextualSpacing/>
              <w:jc w:val="center"/>
              <w:rPr>
                <w:rFonts w:ascii="Arial" w:hAnsi="Arial" w:cs="Arial"/>
                <w:b/>
                <w:noProof/>
                <w:sz w:val="20"/>
                <w:szCs w:val="20"/>
              </w:rPr>
            </w:pPr>
            <w:r>
              <w:rPr>
                <w:rFonts w:ascii="Arial" w:hAnsi="Arial" w:cs="Arial"/>
                <w:b/>
                <w:noProof/>
                <w:sz w:val="20"/>
                <w:szCs w:val="20"/>
              </w:rPr>
              <w:t>2.</w:t>
            </w:r>
          </w:p>
        </w:tc>
        <w:tc>
          <w:tcPr>
            <w:tcW w:w="3647" w:type="pct"/>
            <w:vAlign w:val="center"/>
          </w:tcPr>
          <w:p w14:paraId="764DA991" w14:textId="77777777" w:rsidR="00134AAE" w:rsidRDefault="00134AAE" w:rsidP="00E17165">
            <w:pPr>
              <w:tabs>
                <w:tab w:val="num" w:pos="1080"/>
                <w:tab w:val="left" w:pos="7655"/>
              </w:tabs>
              <w:spacing w:after="0" w:line="240" w:lineRule="auto"/>
              <w:contextualSpacing/>
              <w:jc w:val="both"/>
              <w:rPr>
                <w:rFonts w:ascii="Arial" w:hAnsi="Arial" w:cs="Arial"/>
                <w:b/>
                <w:bCs/>
                <w:noProof/>
                <w:sz w:val="20"/>
                <w:szCs w:val="20"/>
              </w:rPr>
            </w:pPr>
            <w:r w:rsidRPr="00134AAE">
              <w:rPr>
                <w:rFonts w:ascii="Arial" w:hAnsi="Arial" w:cs="Arial"/>
                <w:b/>
                <w:bCs/>
                <w:noProof/>
                <w:sz w:val="20"/>
                <w:szCs w:val="20"/>
              </w:rPr>
              <w:t>Delivery time of the Goods (T)</w:t>
            </w:r>
          </w:p>
          <w:p w14:paraId="4ABB98C2" w14:textId="1C6F29C5" w:rsidR="00AB035B" w:rsidRPr="00134AAE" w:rsidRDefault="00134AAE" w:rsidP="00E17165">
            <w:pPr>
              <w:tabs>
                <w:tab w:val="num" w:pos="1080"/>
                <w:tab w:val="left" w:pos="7655"/>
              </w:tabs>
              <w:spacing w:after="0" w:line="240" w:lineRule="auto"/>
              <w:contextualSpacing/>
              <w:jc w:val="both"/>
              <w:rPr>
                <w:rFonts w:ascii="Arial" w:hAnsi="Arial" w:cs="Arial"/>
                <w:bCs/>
                <w:noProof/>
                <w:sz w:val="20"/>
                <w:szCs w:val="20"/>
              </w:rPr>
            </w:pPr>
            <w:r w:rsidRPr="00134AAE">
              <w:rPr>
                <w:rFonts w:ascii="Arial" w:hAnsi="Arial" w:cs="Arial"/>
                <w:bCs/>
                <w:noProof/>
                <w:sz w:val="20"/>
                <w:szCs w:val="20"/>
              </w:rPr>
              <w:t>The delivery time of the Goods is evaluated according to the formula specified in Clause 4 of this methodology, where the highest score for economic efficiency is awarded to the Proposal with the shortest delivery time, and the remaining Proposals are scored</w:t>
            </w:r>
          </w:p>
        </w:tc>
        <w:tc>
          <w:tcPr>
            <w:tcW w:w="1058" w:type="pct"/>
            <w:vAlign w:val="center"/>
          </w:tcPr>
          <w:p w14:paraId="19E01FE6" w14:textId="077652BA" w:rsidR="00AA2DF4" w:rsidRPr="00AA6FC4" w:rsidRDefault="00AB035B" w:rsidP="00E17165">
            <w:pPr>
              <w:tabs>
                <w:tab w:val="num" w:pos="1080"/>
                <w:tab w:val="left" w:pos="7655"/>
              </w:tabs>
              <w:spacing w:after="0" w:line="240" w:lineRule="auto"/>
              <w:contextualSpacing/>
              <w:jc w:val="center"/>
              <w:rPr>
                <w:rFonts w:ascii="Arial" w:hAnsi="Arial" w:cs="Arial"/>
                <w:b/>
                <w:noProof/>
                <w:sz w:val="20"/>
                <w:szCs w:val="20"/>
              </w:rPr>
            </w:pPr>
            <w:r>
              <w:rPr>
                <w:rFonts w:ascii="Arial" w:hAnsi="Arial" w:cs="Arial"/>
                <w:b/>
                <w:noProof/>
                <w:sz w:val="20"/>
                <w:szCs w:val="20"/>
              </w:rPr>
              <w:t>Y</w:t>
            </w:r>
            <w:r w:rsidRPr="00AA6FC4">
              <w:rPr>
                <w:rFonts w:ascii="Arial" w:hAnsi="Arial" w:cs="Arial"/>
                <w:b/>
                <w:noProof/>
                <w:sz w:val="20"/>
                <w:szCs w:val="20"/>
              </w:rPr>
              <w:t>=</w:t>
            </w:r>
            <w:r w:rsidR="00FE342D">
              <w:rPr>
                <w:rFonts w:ascii="Arial" w:hAnsi="Arial" w:cs="Arial"/>
                <w:b/>
                <w:noProof/>
                <w:sz w:val="20"/>
                <w:szCs w:val="20"/>
              </w:rPr>
              <w:t>1</w:t>
            </w:r>
            <w:r w:rsidRPr="00AA6FC4">
              <w:rPr>
                <w:rFonts w:ascii="Arial" w:hAnsi="Arial" w:cs="Arial"/>
                <w:b/>
                <w:noProof/>
                <w:sz w:val="20"/>
                <w:szCs w:val="20"/>
              </w:rPr>
              <w:t>5</w:t>
            </w:r>
          </w:p>
        </w:tc>
      </w:tr>
    </w:tbl>
    <w:p w14:paraId="483065B9" w14:textId="77777777" w:rsidR="005F6E5B" w:rsidRPr="00AA6FC4" w:rsidRDefault="005F6E5B" w:rsidP="005F6E5B">
      <w:pPr>
        <w:tabs>
          <w:tab w:val="left" w:pos="567"/>
        </w:tabs>
        <w:spacing w:after="0" w:line="240" w:lineRule="auto"/>
        <w:rPr>
          <w:rFonts w:ascii="Arial" w:hAnsi="Arial" w:cs="Arial"/>
          <w:bCs/>
          <w:iCs/>
          <w:noProof/>
          <w:sz w:val="20"/>
          <w:szCs w:val="20"/>
        </w:rPr>
      </w:pPr>
    </w:p>
    <w:p w14:paraId="427645CD" w14:textId="496D4224" w:rsidR="005F6E5B" w:rsidRPr="00E2550C" w:rsidRDefault="00E2550C" w:rsidP="00E2550C">
      <w:pPr>
        <w:pStyle w:val="ListParagraph"/>
        <w:numPr>
          <w:ilvl w:val="0"/>
          <w:numId w:val="1"/>
        </w:numPr>
        <w:tabs>
          <w:tab w:val="left" w:pos="567"/>
          <w:tab w:val="left" w:pos="7655"/>
        </w:tabs>
        <w:ind w:left="0" w:firstLine="0"/>
        <w:jc w:val="both"/>
        <w:rPr>
          <w:rFonts w:ascii="Arial" w:hAnsi="Arial" w:cs="Arial"/>
          <w:noProof/>
          <w:sz w:val="20"/>
          <w:szCs w:val="20"/>
        </w:rPr>
      </w:pPr>
      <w:r w:rsidRPr="00E2550C">
        <w:rPr>
          <w:rFonts w:ascii="Arial" w:hAnsi="Arial" w:cs="Arial"/>
          <w:bCs/>
          <w:iCs/>
          <w:noProof/>
          <w:sz w:val="20"/>
          <w:szCs w:val="20"/>
        </w:rPr>
        <w:t>The economic efficiency (N) of each Participant’s Proposal is calculated by summing the scores for the Goods price (C) and the Goods delivery time (T):</w:t>
      </w:r>
    </w:p>
    <w:p w14:paraId="2855F0A0" w14:textId="77777777" w:rsidR="00E2550C" w:rsidRPr="00E2550C" w:rsidRDefault="00E2550C" w:rsidP="006B2D36">
      <w:pPr>
        <w:pStyle w:val="ListParagraph"/>
        <w:tabs>
          <w:tab w:val="left" w:pos="567"/>
          <w:tab w:val="left" w:pos="7655"/>
        </w:tabs>
        <w:ind w:left="0"/>
        <w:jc w:val="both"/>
        <w:rPr>
          <w:rFonts w:ascii="Arial" w:hAnsi="Arial" w:cs="Arial"/>
          <w:noProof/>
          <w:sz w:val="20"/>
          <w:szCs w:val="20"/>
        </w:rPr>
      </w:pPr>
    </w:p>
    <w:p w14:paraId="4E60A5DC" w14:textId="1BE1742A" w:rsidR="005F6E5B" w:rsidRPr="00AA6FC4" w:rsidRDefault="005F6E5B" w:rsidP="005F6E5B">
      <w:pPr>
        <w:tabs>
          <w:tab w:val="left" w:pos="567"/>
          <w:tab w:val="left" w:pos="7655"/>
        </w:tabs>
        <w:spacing w:after="0" w:line="240" w:lineRule="auto"/>
        <w:contextualSpacing/>
        <w:jc w:val="center"/>
        <w:rPr>
          <w:rFonts w:ascii="Arial" w:hAnsi="Arial" w:cs="Arial"/>
          <w:noProof/>
          <w:sz w:val="20"/>
          <w:szCs w:val="20"/>
          <w:lang w:val="en-US"/>
        </w:rPr>
      </w:pPr>
      <w:r w:rsidRPr="00AA6FC4">
        <w:rPr>
          <w:rFonts w:ascii="Arial" w:hAnsi="Arial" w:cs="Arial"/>
          <w:noProof/>
          <w:sz w:val="20"/>
          <w:szCs w:val="20"/>
        </w:rPr>
        <w:t>N</w:t>
      </w:r>
      <w:r w:rsidRPr="00AA6FC4">
        <w:rPr>
          <w:rFonts w:ascii="Arial" w:hAnsi="Arial" w:cs="Arial"/>
          <w:noProof/>
          <w:sz w:val="20"/>
          <w:szCs w:val="20"/>
          <w:lang w:val="en-US"/>
        </w:rPr>
        <w:t>=C+</w:t>
      </w:r>
      <w:r w:rsidR="009248F8">
        <w:rPr>
          <w:rFonts w:ascii="Arial" w:hAnsi="Arial" w:cs="Arial"/>
          <w:noProof/>
          <w:sz w:val="20"/>
          <w:szCs w:val="20"/>
          <w:lang w:val="en-US"/>
        </w:rPr>
        <w:t>T</w:t>
      </w:r>
    </w:p>
    <w:p w14:paraId="6CC7C156" w14:textId="77777777" w:rsidR="005F6E5B" w:rsidRPr="00AA6FC4" w:rsidRDefault="005F6E5B" w:rsidP="005F6E5B">
      <w:pPr>
        <w:tabs>
          <w:tab w:val="left" w:pos="567"/>
          <w:tab w:val="left" w:pos="7655"/>
        </w:tabs>
        <w:spacing w:after="0" w:line="240" w:lineRule="auto"/>
        <w:contextualSpacing/>
        <w:jc w:val="center"/>
        <w:rPr>
          <w:rFonts w:ascii="Arial" w:hAnsi="Arial" w:cs="Arial"/>
          <w:noProof/>
          <w:sz w:val="20"/>
          <w:szCs w:val="20"/>
        </w:rPr>
      </w:pPr>
    </w:p>
    <w:p w14:paraId="7184995A" w14:textId="77777777" w:rsidR="006B2D36" w:rsidRPr="006B2D36" w:rsidRDefault="006B2D36" w:rsidP="006B2D36">
      <w:pPr>
        <w:pStyle w:val="ListParagraph"/>
        <w:numPr>
          <w:ilvl w:val="0"/>
          <w:numId w:val="12"/>
        </w:numPr>
        <w:tabs>
          <w:tab w:val="left" w:pos="426"/>
        </w:tabs>
        <w:jc w:val="both"/>
        <w:rPr>
          <w:rFonts w:ascii="Arial" w:eastAsia="Arial" w:hAnsi="Arial" w:cs="Arial"/>
          <w:bCs/>
          <w:iCs/>
          <w:vanish/>
          <w:sz w:val="20"/>
          <w:szCs w:val="20"/>
          <w:lang w:val="en-GB" w:bidi="en-US"/>
        </w:rPr>
      </w:pPr>
    </w:p>
    <w:p w14:paraId="10166CFE" w14:textId="77777777" w:rsidR="006B2D36" w:rsidRPr="006B2D36" w:rsidRDefault="006B2D36" w:rsidP="006B2D36">
      <w:pPr>
        <w:pStyle w:val="ListParagraph"/>
        <w:numPr>
          <w:ilvl w:val="0"/>
          <w:numId w:val="12"/>
        </w:numPr>
        <w:tabs>
          <w:tab w:val="left" w:pos="426"/>
        </w:tabs>
        <w:jc w:val="both"/>
        <w:rPr>
          <w:rFonts w:ascii="Arial" w:eastAsia="Arial" w:hAnsi="Arial" w:cs="Arial"/>
          <w:bCs/>
          <w:iCs/>
          <w:vanish/>
          <w:sz w:val="20"/>
          <w:szCs w:val="20"/>
          <w:lang w:val="en-GB" w:bidi="en-US"/>
        </w:rPr>
      </w:pPr>
    </w:p>
    <w:p w14:paraId="71EDFBC1" w14:textId="06FC174C" w:rsidR="006B2D36" w:rsidRPr="002E166D" w:rsidRDefault="006B2D36" w:rsidP="006B2D36">
      <w:pPr>
        <w:pStyle w:val="ListParagraph"/>
        <w:numPr>
          <w:ilvl w:val="1"/>
          <w:numId w:val="12"/>
        </w:numPr>
        <w:tabs>
          <w:tab w:val="left" w:pos="567"/>
        </w:tabs>
        <w:ind w:left="0" w:firstLine="0"/>
        <w:jc w:val="both"/>
        <w:rPr>
          <w:rFonts w:ascii="Arial" w:eastAsia="Arial" w:hAnsi="Arial" w:cs="Arial"/>
          <w:bCs/>
          <w:iCs/>
          <w:sz w:val="20"/>
          <w:szCs w:val="20"/>
          <w:lang w:val="en-GB" w:bidi="en-US"/>
        </w:rPr>
      </w:pPr>
      <w:r w:rsidRPr="002E166D">
        <w:rPr>
          <w:rFonts w:ascii="Arial" w:eastAsia="Arial" w:hAnsi="Arial" w:cs="Arial"/>
          <w:bCs/>
          <w:iCs/>
          <w:sz w:val="20"/>
          <w:szCs w:val="20"/>
          <w:lang w:val="en-GB" w:bidi="en-US"/>
        </w:rPr>
        <w:t xml:space="preserve">The </w:t>
      </w:r>
      <w:r>
        <w:rPr>
          <w:rFonts w:ascii="Arial" w:eastAsia="Arial" w:hAnsi="Arial" w:cs="Arial"/>
          <w:bCs/>
          <w:iCs/>
          <w:sz w:val="20"/>
          <w:szCs w:val="20"/>
          <w:lang w:val="en-GB" w:bidi="en-US"/>
        </w:rPr>
        <w:t>Goods</w:t>
      </w:r>
      <w:r w:rsidRPr="002E166D">
        <w:rPr>
          <w:rFonts w:ascii="Arial" w:eastAsia="Arial" w:hAnsi="Arial" w:cs="Arial"/>
          <w:bCs/>
          <w:iCs/>
          <w:sz w:val="20"/>
          <w:szCs w:val="20"/>
          <w:lang w:val="en-GB" w:bidi="en-US"/>
        </w:rPr>
        <w:t xml:space="preserve"> price (C) points are calculated by multiplying the ratio of the lowest service price indicated in the column "</w:t>
      </w:r>
      <w:r w:rsidRPr="004F475C">
        <w:t xml:space="preserve"> </w:t>
      </w:r>
      <w:r w:rsidRPr="004F475C">
        <w:rPr>
          <w:rFonts w:ascii="Arial" w:eastAsia="Arial" w:hAnsi="Arial" w:cs="Arial"/>
          <w:bCs/>
          <w:iCs/>
          <w:sz w:val="20"/>
          <w:szCs w:val="20"/>
          <w:lang w:val="en-GB" w:bidi="en-US"/>
        </w:rPr>
        <w:t>Tender price EUR excluding VAT</w:t>
      </w:r>
      <w:r w:rsidRPr="002E166D">
        <w:rPr>
          <w:rFonts w:ascii="Arial" w:eastAsia="Arial" w:hAnsi="Arial" w:cs="Arial"/>
          <w:bCs/>
          <w:iCs/>
          <w:sz w:val="20"/>
          <w:szCs w:val="20"/>
          <w:lang w:val="en-GB" w:bidi="en-US"/>
        </w:rPr>
        <w:t>" in the Annex "Tender Price" to the Tender Form, (</w:t>
      </w:r>
      <w:proofErr w:type="spellStart"/>
      <w:r w:rsidRPr="002E166D">
        <w:rPr>
          <w:rFonts w:ascii="Arial" w:eastAsia="Arial" w:hAnsi="Arial" w:cs="Arial"/>
          <w:bCs/>
          <w:iCs/>
          <w:sz w:val="20"/>
          <w:szCs w:val="20"/>
          <w:lang w:val="en-GB" w:bidi="en-US"/>
        </w:rPr>
        <w:t>C</w:t>
      </w:r>
      <w:r w:rsidRPr="002E166D">
        <w:rPr>
          <w:rFonts w:ascii="Arial" w:eastAsia="Arial" w:hAnsi="Arial" w:cs="Arial"/>
          <w:bCs/>
          <w:iCs/>
          <w:sz w:val="20"/>
          <w:szCs w:val="20"/>
          <w:vertAlign w:val="subscript"/>
          <w:lang w:val="en-GB" w:bidi="en-US"/>
        </w:rPr>
        <w:t>min</w:t>
      </w:r>
      <w:proofErr w:type="spellEnd"/>
      <w:r w:rsidRPr="002E166D">
        <w:rPr>
          <w:rFonts w:ascii="Arial" w:eastAsia="Arial" w:hAnsi="Arial" w:cs="Arial"/>
          <w:bCs/>
          <w:iCs/>
          <w:sz w:val="20"/>
          <w:szCs w:val="20"/>
          <w:lang w:val="en-GB" w:bidi="en-US"/>
        </w:rPr>
        <w:t>) and the evaluated tender price (C</w:t>
      </w:r>
      <w:r w:rsidRPr="002E166D">
        <w:rPr>
          <w:rFonts w:ascii="Arial" w:eastAsia="Arial" w:hAnsi="Arial" w:cs="Arial"/>
          <w:bCs/>
          <w:iCs/>
          <w:sz w:val="20"/>
          <w:szCs w:val="20"/>
          <w:vertAlign w:val="subscript"/>
          <w:lang w:val="en-GB" w:bidi="en-US"/>
        </w:rPr>
        <w:t>p</w:t>
      </w:r>
      <w:r w:rsidRPr="002E166D">
        <w:rPr>
          <w:rFonts w:ascii="Arial" w:eastAsia="Arial" w:hAnsi="Arial" w:cs="Arial"/>
          <w:bCs/>
          <w:iCs/>
          <w:sz w:val="20"/>
          <w:szCs w:val="20"/>
          <w:lang w:val="en-GB" w:bidi="en-US"/>
        </w:rPr>
        <w:t>) by the comparative weight of the evaluated criterion parameter (X):</w:t>
      </w:r>
    </w:p>
    <w:p w14:paraId="28B99322" w14:textId="77777777" w:rsidR="005F6E5B" w:rsidRPr="00AA6FC4" w:rsidRDefault="005F6E5B" w:rsidP="005F6E5B">
      <w:pPr>
        <w:tabs>
          <w:tab w:val="left" w:pos="567"/>
        </w:tabs>
        <w:spacing w:after="0" w:line="240" w:lineRule="auto"/>
        <w:contextualSpacing/>
        <w:jc w:val="both"/>
        <w:outlineLvl w:val="1"/>
        <w:rPr>
          <w:rFonts w:ascii="Arial" w:eastAsia="Times New Roman" w:hAnsi="Arial" w:cs="Arial"/>
          <w:bCs/>
          <w:iCs/>
          <w:noProof/>
          <w:sz w:val="20"/>
          <w:szCs w:val="20"/>
        </w:rPr>
      </w:pPr>
    </w:p>
    <w:p w14:paraId="724E4D6D" w14:textId="77777777" w:rsidR="005F6E5B" w:rsidRPr="00AA6FC4" w:rsidRDefault="005F6E5B" w:rsidP="005F6E5B">
      <w:pPr>
        <w:tabs>
          <w:tab w:val="left" w:pos="0"/>
          <w:tab w:val="left" w:pos="567"/>
        </w:tabs>
        <w:spacing w:after="0" w:line="240" w:lineRule="auto"/>
        <w:contextualSpacing/>
        <w:jc w:val="center"/>
        <w:rPr>
          <w:rFonts w:ascii="Arial" w:eastAsia="Times New Roman" w:hAnsi="Arial" w:cs="Arial"/>
          <w:sz w:val="20"/>
          <w:szCs w:val="20"/>
        </w:rPr>
      </w:pPr>
      <m:oMath>
        <m:r>
          <m:rPr>
            <m:sty m:val="p"/>
          </m:rPr>
          <w:rPr>
            <w:rFonts w:ascii="Cambria Math" w:eastAsia="Times New Roman" w:hAnsi="Cambria Math" w:cs="Arial"/>
            <w:sz w:val="20"/>
            <w:szCs w:val="20"/>
          </w:rPr>
          <m:t>C=</m:t>
        </m:r>
        <m:f>
          <m:fPr>
            <m:ctrlPr>
              <w:rPr>
                <w:rFonts w:ascii="Cambria Math" w:eastAsia="Times New Roman" w:hAnsi="Cambria Math" w:cs="Arial"/>
                <w:sz w:val="20"/>
                <w:szCs w:val="20"/>
              </w:rPr>
            </m:ctrlPr>
          </m:fPr>
          <m:num>
            <m:r>
              <m:rPr>
                <m:sty m:val="p"/>
              </m:rPr>
              <w:rPr>
                <w:rFonts w:ascii="Cambria Math" w:eastAsia="Times New Roman" w:hAnsi="Cambria Math" w:cs="Arial"/>
                <w:sz w:val="20"/>
                <w:szCs w:val="20"/>
              </w:rPr>
              <m:t>C</m:t>
            </m:r>
            <m:r>
              <m:rPr>
                <m:sty m:val="p"/>
              </m:rPr>
              <w:rPr>
                <w:rFonts w:ascii="Cambria Math" w:eastAsia="Times New Roman" w:hAnsi="Cambria Math" w:cs="Arial"/>
                <w:noProof/>
                <w:sz w:val="20"/>
                <w:szCs w:val="20"/>
              </w:rPr>
              <m:t>min</m:t>
            </m:r>
          </m:num>
          <m:den>
            <m:r>
              <m:rPr>
                <m:sty m:val="p"/>
              </m:rPr>
              <w:rPr>
                <w:rFonts w:ascii="Cambria Math" w:eastAsia="Times New Roman" w:hAnsi="Cambria Math" w:cs="Arial"/>
                <w:noProof/>
                <w:sz w:val="20"/>
                <w:szCs w:val="20"/>
              </w:rPr>
              <m:t>Cp</m:t>
            </m:r>
          </m:den>
        </m:f>
        <m:r>
          <m:rPr>
            <m:sty m:val="p"/>
          </m:rPr>
          <w:rPr>
            <w:rFonts w:ascii="Cambria Math" w:eastAsia="Times New Roman" w:hAnsi="Cambria Math" w:cs="Arial"/>
            <w:sz w:val="20"/>
            <w:szCs w:val="20"/>
          </w:rPr>
          <m:t xml:space="preserve"> ∙X</m:t>
        </m:r>
      </m:oMath>
      <w:r w:rsidRPr="00AA6FC4">
        <w:rPr>
          <w:rFonts w:ascii="Arial" w:eastAsia="Times New Roman" w:hAnsi="Arial" w:cs="Arial"/>
          <w:sz w:val="20"/>
          <w:szCs w:val="20"/>
        </w:rPr>
        <w:t>;</w:t>
      </w:r>
    </w:p>
    <w:p w14:paraId="40FD32C7" w14:textId="77777777" w:rsidR="005F6E5B" w:rsidRDefault="005F6E5B" w:rsidP="005F6E5B">
      <w:pPr>
        <w:tabs>
          <w:tab w:val="left" w:pos="0"/>
          <w:tab w:val="left" w:pos="567"/>
        </w:tabs>
        <w:spacing w:after="0" w:line="240" w:lineRule="auto"/>
        <w:contextualSpacing/>
        <w:jc w:val="center"/>
        <w:rPr>
          <w:rFonts w:ascii="Arial" w:eastAsia="Times New Roman" w:hAnsi="Arial" w:cs="Arial"/>
          <w:sz w:val="20"/>
          <w:szCs w:val="20"/>
        </w:rPr>
      </w:pPr>
    </w:p>
    <w:p w14:paraId="0BFE84EF" w14:textId="77777777" w:rsidR="00D11181" w:rsidRPr="00D11181" w:rsidRDefault="00D11181" w:rsidP="00D11181">
      <w:pPr>
        <w:pStyle w:val="ListParagraph"/>
        <w:numPr>
          <w:ilvl w:val="1"/>
          <w:numId w:val="1"/>
        </w:numPr>
        <w:tabs>
          <w:tab w:val="left" w:pos="284"/>
          <w:tab w:val="left" w:pos="567"/>
          <w:tab w:val="left" w:pos="709"/>
        </w:tabs>
        <w:jc w:val="both"/>
        <w:rPr>
          <w:rFonts w:ascii="Arial" w:hAnsi="Arial" w:cs="Arial"/>
          <w:noProof/>
          <w:vanish/>
          <w:sz w:val="20"/>
          <w:szCs w:val="20"/>
        </w:rPr>
      </w:pPr>
    </w:p>
    <w:p w14:paraId="4762B00D" w14:textId="256AC46E" w:rsidR="005F7D3C" w:rsidRPr="00AA6FC4" w:rsidRDefault="00D11181" w:rsidP="00D11181">
      <w:pPr>
        <w:pStyle w:val="ListParagraph"/>
        <w:numPr>
          <w:ilvl w:val="1"/>
          <w:numId w:val="1"/>
        </w:numPr>
        <w:tabs>
          <w:tab w:val="left" w:pos="567"/>
        </w:tabs>
        <w:ind w:left="0" w:firstLine="0"/>
        <w:jc w:val="both"/>
        <w:rPr>
          <w:rFonts w:ascii="Arial" w:hAnsi="Arial" w:cs="Arial"/>
          <w:sz w:val="20"/>
          <w:szCs w:val="20"/>
        </w:rPr>
      </w:pPr>
      <w:r w:rsidRPr="00D11181">
        <w:rPr>
          <w:rFonts w:ascii="Arial" w:hAnsi="Arial" w:cs="Arial"/>
          <w:noProof/>
          <w:sz w:val="20"/>
          <w:szCs w:val="20"/>
        </w:rPr>
        <w:t>The scores for the Goods delivery time (T) are calculated by taking the ratio of the shortest offered delivery time indicated in the Proposal form (Tmin) to the delivery time specified in the evaluated Proposal (Tp), multiplying it by the relative weight of the evaluated criterion (Y), and rounding the resulting number to two decimal places:</w:t>
      </w:r>
    </w:p>
    <w:p w14:paraId="3008C45B" w14:textId="77777777" w:rsidR="005F7D3C" w:rsidRPr="00AA6FC4" w:rsidRDefault="005F7D3C" w:rsidP="005F7D3C">
      <w:pPr>
        <w:pStyle w:val="ListParagraph"/>
        <w:tabs>
          <w:tab w:val="left" w:pos="284"/>
          <w:tab w:val="left" w:pos="567"/>
          <w:tab w:val="left" w:pos="709"/>
        </w:tabs>
        <w:ind w:left="0"/>
        <w:jc w:val="both"/>
        <w:rPr>
          <w:rFonts w:ascii="Arial" w:hAnsi="Arial" w:cs="Arial"/>
          <w:iCs/>
          <w:position w:val="-32"/>
          <w:sz w:val="20"/>
          <w:szCs w:val="20"/>
        </w:rPr>
      </w:pPr>
      <m:oMathPara>
        <m:oMath>
          <m:r>
            <m:rPr>
              <m:sty m:val="p"/>
            </m:rPr>
            <w:rPr>
              <w:rFonts w:ascii="Cambria Math" w:hAnsi="Cambria Math" w:cs="Arial"/>
              <w:sz w:val="20"/>
              <w:szCs w:val="20"/>
            </w:rPr>
            <m:t>T=</m:t>
          </m:r>
          <m:f>
            <m:fPr>
              <m:ctrlPr>
                <w:rPr>
                  <w:rFonts w:ascii="Cambria Math" w:hAnsi="Cambria Math" w:cs="Arial"/>
                  <w:bCs/>
                  <w:iCs/>
                  <w:sz w:val="20"/>
                  <w:szCs w:val="20"/>
                </w:rPr>
              </m:ctrlPr>
            </m:fPr>
            <m:num>
              <m:sSub>
                <m:sSubPr>
                  <m:ctrlPr>
                    <w:rPr>
                      <w:rFonts w:ascii="Cambria Math" w:hAnsi="Cambria Math" w:cs="Arial"/>
                      <w:bCs/>
                      <w:iCs/>
                      <w:sz w:val="20"/>
                      <w:szCs w:val="20"/>
                    </w:rPr>
                  </m:ctrlPr>
                </m:sSubPr>
                <m:e>
                  <m:r>
                    <w:rPr>
                      <w:rFonts w:ascii="Cambria Math" w:hAnsi="Cambria Math" w:cs="Arial"/>
                      <w:sz w:val="20"/>
                      <w:szCs w:val="20"/>
                    </w:rPr>
                    <m:t>T</m:t>
                  </m:r>
                </m:e>
                <m:sub>
                  <m:r>
                    <m:rPr>
                      <m:sty m:val="p"/>
                    </m:rPr>
                    <w:rPr>
                      <w:rFonts w:ascii="Cambria Math" w:hAnsi="Cambria Math" w:cs="Arial"/>
                      <w:sz w:val="20"/>
                      <w:szCs w:val="20"/>
                    </w:rPr>
                    <m:t>min</m:t>
                  </m:r>
                </m:sub>
              </m:sSub>
            </m:num>
            <m:den>
              <m:sSub>
                <m:sSubPr>
                  <m:ctrlPr>
                    <w:rPr>
                      <w:rFonts w:ascii="Cambria Math" w:hAnsi="Cambria Math" w:cs="Arial"/>
                      <w:bCs/>
                      <w:iCs/>
                      <w:sz w:val="20"/>
                      <w:szCs w:val="20"/>
                    </w:rPr>
                  </m:ctrlPr>
                </m:sSubPr>
                <m:e>
                  <m:r>
                    <w:rPr>
                      <w:rFonts w:ascii="Cambria Math" w:hAnsi="Cambria Math" w:cs="Arial"/>
                      <w:sz w:val="20"/>
                      <w:szCs w:val="20"/>
                    </w:rPr>
                    <m:t>T</m:t>
                  </m:r>
                </m:e>
                <m:sub>
                  <m:r>
                    <m:rPr>
                      <m:sty m:val="p"/>
                    </m:rPr>
                    <w:rPr>
                      <w:rFonts w:ascii="Cambria Math" w:hAnsi="Cambria Math" w:cs="Arial"/>
                      <w:sz w:val="20"/>
                      <w:szCs w:val="20"/>
                    </w:rPr>
                    <m:t>p</m:t>
                  </m:r>
                </m:sub>
              </m:sSub>
            </m:den>
          </m:f>
          <m:r>
            <m:rPr>
              <m:sty m:val="p"/>
            </m:rPr>
            <w:rPr>
              <w:rFonts w:ascii="Cambria Math" w:hAnsi="Cambria Math" w:cs="Arial"/>
              <w:sz w:val="20"/>
              <w:szCs w:val="20"/>
            </w:rPr>
            <m:t>×Y</m:t>
          </m:r>
        </m:oMath>
      </m:oMathPara>
    </w:p>
    <w:p w14:paraId="5B61A488" w14:textId="77777777" w:rsidR="005F7D3C" w:rsidRPr="00AA6FC4" w:rsidRDefault="005F7D3C" w:rsidP="005F7D3C">
      <w:pPr>
        <w:tabs>
          <w:tab w:val="left" w:pos="0"/>
          <w:tab w:val="left" w:pos="567"/>
        </w:tabs>
        <w:spacing w:after="0" w:line="240" w:lineRule="auto"/>
        <w:contextualSpacing/>
        <w:jc w:val="center"/>
        <w:rPr>
          <w:rFonts w:ascii="Arial" w:eastAsia="Times New Roman" w:hAnsi="Arial" w:cs="Arial"/>
          <w:sz w:val="20"/>
          <w:szCs w:val="20"/>
        </w:rPr>
      </w:pPr>
    </w:p>
    <w:p w14:paraId="6F76957C" w14:textId="1625C088" w:rsidR="006E3C4D" w:rsidRPr="000C2466" w:rsidRDefault="007F1F71" w:rsidP="000C2466">
      <w:pPr>
        <w:tabs>
          <w:tab w:val="left" w:pos="0"/>
          <w:tab w:val="left" w:pos="567"/>
        </w:tabs>
        <w:spacing w:after="0" w:line="240" w:lineRule="auto"/>
        <w:contextualSpacing/>
        <w:rPr>
          <w:rFonts w:ascii="Arial" w:eastAsia="Times New Roman" w:hAnsi="Arial" w:cs="Arial"/>
          <w:sz w:val="20"/>
          <w:szCs w:val="20"/>
          <w:lang w:val="en-GB"/>
        </w:rPr>
      </w:pPr>
      <w:r w:rsidRPr="000C2466">
        <w:rPr>
          <w:rFonts w:ascii="Arial" w:eastAsia="Times New Roman" w:hAnsi="Arial" w:cs="Arial"/>
          <w:sz w:val="20"/>
          <w:szCs w:val="20"/>
          <w:lang w:val="en-GB"/>
        </w:rPr>
        <w:t>If the Supplier indicates in the Proposal that the offered delivery time for the Goods is 126 (one hundred twenty-six) calendar days, the Supplier’s Proposal will receive 0 points for this economic efficiency criterion.</w:t>
      </w:r>
    </w:p>
    <w:p w14:paraId="0D5FB192" w14:textId="77777777" w:rsidR="007F1F71" w:rsidRPr="000C2466" w:rsidRDefault="007F1F71" w:rsidP="005F6E5B">
      <w:pPr>
        <w:tabs>
          <w:tab w:val="left" w:pos="0"/>
          <w:tab w:val="left" w:pos="567"/>
        </w:tabs>
        <w:spacing w:after="0" w:line="240" w:lineRule="auto"/>
        <w:contextualSpacing/>
        <w:jc w:val="center"/>
        <w:rPr>
          <w:rFonts w:ascii="Arial" w:eastAsia="Times New Roman" w:hAnsi="Arial" w:cs="Arial"/>
          <w:sz w:val="20"/>
          <w:szCs w:val="20"/>
          <w:lang w:val="en-GB"/>
        </w:rPr>
      </w:pPr>
    </w:p>
    <w:p w14:paraId="4EC7A77E" w14:textId="77777777" w:rsidR="007F1F71" w:rsidRPr="000C2466" w:rsidRDefault="007F1F71" w:rsidP="005F6E5B">
      <w:pPr>
        <w:tabs>
          <w:tab w:val="left" w:pos="0"/>
          <w:tab w:val="left" w:pos="567"/>
        </w:tabs>
        <w:spacing w:after="0" w:line="240" w:lineRule="auto"/>
        <w:contextualSpacing/>
        <w:jc w:val="center"/>
        <w:rPr>
          <w:rFonts w:ascii="Arial" w:eastAsia="Times New Roman" w:hAnsi="Arial" w:cs="Arial"/>
          <w:sz w:val="20"/>
          <w:szCs w:val="20"/>
          <w:lang w:val="en-GB"/>
        </w:rPr>
      </w:pPr>
    </w:p>
    <w:p w14:paraId="39CB6435" w14:textId="77777777" w:rsidR="006E3C4D" w:rsidRPr="006D6EF4" w:rsidRDefault="006E3C4D" w:rsidP="006E3C4D">
      <w:pPr>
        <w:pStyle w:val="ListParagraph"/>
        <w:numPr>
          <w:ilvl w:val="0"/>
          <w:numId w:val="3"/>
        </w:numPr>
        <w:tabs>
          <w:tab w:val="left" w:pos="567"/>
        </w:tabs>
        <w:ind w:left="0" w:firstLine="0"/>
        <w:jc w:val="both"/>
        <w:rPr>
          <w:rFonts w:ascii="Arial" w:hAnsi="Arial" w:cs="Arial"/>
          <w:b/>
          <w:bCs/>
          <w:sz w:val="20"/>
          <w:szCs w:val="20"/>
          <w:lang w:val="en-GB"/>
        </w:rPr>
      </w:pPr>
      <w:r w:rsidRPr="006D6EF4">
        <w:rPr>
          <w:rFonts w:ascii="Arial" w:eastAsia="Arial" w:hAnsi="Arial" w:cs="Arial"/>
          <w:b/>
          <w:bCs/>
          <w:sz w:val="20"/>
          <w:szCs w:val="20"/>
          <w:lang w:val="en-GB" w:bidi="en-US"/>
        </w:rPr>
        <w:t>The Tender that is awarded the most points will be recognised as the most economically advantageous.</w:t>
      </w:r>
    </w:p>
    <w:p w14:paraId="29E4F82C" w14:textId="77777777" w:rsidR="005F6E5B" w:rsidRPr="00AA6FC4" w:rsidRDefault="005F6E5B" w:rsidP="005F6E5B">
      <w:pPr>
        <w:pStyle w:val="ListParagraph"/>
        <w:tabs>
          <w:tab w:val="left" w:pos="284"/>
        </w:tabs>
        <w:ind w:left="0"/>
        <w:jc w:val="center"/>
        <w:rPr>
          <w:rFonts w:ascii="Arial" w:hAnsi="Arial" w:cs="Arial"/>
          <w:sz w:val="20"/>
          <w:szCs w:val="20"/>
        </w:rPr>
      </w:pPr>
    </w:p>
    <w:p w14:paraId="291FE715" w14:textId="77777777" w:rsidR="005F6E5B" w:rsidRPr="00AA6FC4" w:rsidRDefault="005F6E5B" w:rsidP="005F6E5B">
      <w:pPr>
        <w:tabs>
          <w:tab w:val="left" w:pos="567"/>
        </w:tabs>
        <w:spacing w:after="0" w:line="240" w:lineRule="auto"/>
        <w:contextualSpacing/>
        <w:rPr>
          <w:rFonts w:ascii="Arial" w:hAnsi="Arial" w:cs="Arial"/>
          <w:sz w:val="20"/>
          <w:szCs w:val="20"/>
        </w:rPr>
      </w:pPr>
    </w:p>
    <w:p w14:paraId="47F0E3E8" w14:textId="77777777" w:rsidR="005F6E5B" w:rsidRPr="00AA6FC4" w:rsidRDefault="005F6E5B" w:rsidP="005F6E5B">
      <w:pPr>
        <w:spacing w:after="0" w:line="240" w:lineRule="auto"/>
        <w:rPr>
          <w:rFonts w:ascii="Arial" w:hAnsi="Arial" w:cs="Arial"/>
          <w:sz w:val="20"/>
          <w:szCs w:val="20"/>
        </w:rPr>
      </w:pPr>
    </w:p>
    <w:p w14:paraId="7C6DB07A" w14:textId="77777777" w:rsidR="00DE621D" w:rsidRDefault="00DE621D" w:rsidP="00197F1B"/>
    <w:sectPr w:rsidR="00DE621D">
      <w:headerReference w:type="default" r:id="rId10"/>
      <w:foot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C4380" w14:textId="77777777" w:rsidR="00B70B3A" w:rsidRDefault="00B70B3A" w:rsidP="00197F1B">
      <w:pPr>
        <w:spacing w:after="0" w:line="240" w:lineRule="auto"/>
      </w:pPr>
      <w:r>
        <w:separator/>
      </w:r>
    </w:p>
  </w:endnote>
  <w:endnote w:type="continuationSeparator" w:id="0">
    <w:p w14:paraId="49D23D01" w14:textId="77777777" w:rsidR="00B70B3A" w:rsidRDefault="00B70B3A" w:rsidP="00197F1B">
      <w:pPr>
        <w:spacing w:after="0" w:line="240" w:lineRule="auto"/>
      </w:pPr>
      <w:r>
        <w:continuationSeparator/>
      </w:r>
    </w:p>
  </w:endnote>
  <w:endnote w:type="continuationNotice" w:id="1">
    <w:p w14:paraId="0B1C9642" w14:textId="77777777" w:rsidR="00B70B3A" w:rsidRDefault="00B70B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CD6206F" w14:paraId="23D9AB86" w14:textId="77777777" w:rsidTr="6CD6206F">
      <w:trPr>
        <w:trHeight w:val="300"/>
      </w:trPr>
      <w:tc>
        <w:tcPr>
          <w:tcW w:w="3210" w:type="dxa"/>
        </w:tcPr>
        <w:p w14:paraId="18D62EBF" w14:textId="275BD239" w:rsidR="6CD6206F" w:rsidRDefault="6CD6206F" w:rsidP="6CD6206F">
          <w:pPr>
            <w:pStyle w:val="Header"/>
            <w:ind w:left="-115"/>
          </w:pPr>
        </w:p>
      </w:tc>
      <w:tc>
        <w:tcPr>
          <w:tcW w:w="3210" w:type="dxa"/>
        </w:tcPr>
        <w:p w14:paraId="67CEEFC0" w14:textId="534A5128" w:rsidR="6CD6206F" w:rsidRDefault="6CD6206F" w:rsidP="6CD6206F">
          <w:pPr>
            <w:pStyle w:val="Header"/>
            <w:jc w:val="center"/>
          </w:pPr>
        </w:p>
      </w:tc>
      <w:tc>
        <w:tcPr>
          <w:tcW w:w="3210" w:type="dxa"/>
        </w:tcPr>
        <w:p w14:paraId="4506263D" w14:textId="6D937440" w:rsidR="6CD6206F" w:rsidRDefault="6CD6206F" w:rsidP="6CD6206F">
          <w:pPr>
            <w:pStyle w:val="Header"/>
            <w:ind w:right="-115"/>
            <w:jc w:val="right"/>
          </w:pPr>
        </w:p>
      </w:tc>
    </w:tr>
  </w:tbl>
  <w:p w14:paraId="26818724" w14:textId="73D9761F" w:rsidR="6CD6206F" w:rsidRDefault="6CD6206F" w:rsidP="6CD620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3BC13" w14:textId="77777777" w:rsidR="00B70B3A" w:rsidRDefault="00B70B3A" w:rsidP="00197F1B">
      <w:pPr>
        <w:spacing w:after="0" w:line="240" w:lineRule="auto"/>
      </w:pPr>
      <w:r>
        <w:separator/>
      </w:r>
    </w:p>
  </w:footnote>
  <w:footnote w:type="continuationSeparator" w:id="0">
    <w:p w14:paraId="39B9C6AA" w14:textId="77777777" w:rsidR="00B70B3A" w:rsidRDefault="00B70B3A" w:rsidP="00197F1B">
      <w:pPr>
        <w:spacing w:after="0" w:line="240" w:lineRule="auto"/>
      </w:pPr>
      <w:r>
        <w:continuationSeparator/>
      </w:r>
    </w:p>
  </w:footnote>
  <w:footnote w:type="continuationNotice" w:id="1">
    <w:p w14:paraId="5CDC7735" w14:textId="77777777" w:rsidR="00B70B3A" w:rsidRDefault="00B70B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52163" w14:textId="77777777" w:rsidR="00C63FDD" w:rsidRDefault="00C63FDD">
    <w:pPr>
      <w:pStyle w:val="Header"/>
    </w:pPr>
  </w:p>
  <w:p w14:paraId="6EBC011D" w14:textId="36027551" w:rsidR="00197F1B" w:rsidRPr="00C63FDD" w:rsidRDefault="00197F1B">
    <w:pPr>
      <w:pStyle w:val="Header"/>
      <w:rPr>
        <w:rFonts w:ascii="Arial" w:hAnsi="Arial" w:cs="Arial"/>
        <w:i/>
        <w:i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D63372B"/>
    <w:multiLevelType w:val="hybridMultilevel"/>
    <w:tmpl w:val="51DCEC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AA5D8B"/>
    <w:multiLevelType w:val="multilevel"/>
    <w:tmpl w:val="0427001F"/>
    <w:lvl w:ilvl="0">
      <w:start w:val="1"/>
      <w:numFmt w:val="decimal"/>
      <w:lvlText w:val="%1."/>
      <w:lvlJc w:val="left"/>
      <w:pPr>
        <w:ind w:left="360" w:hanging="360"/>
      </w:pPr>
      <w:rPr>
        <w:rFonts w:hint="default"/>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 w15:restartNumberingAfterBreak="0">
    <w:nsid w:val="429E67E4"/>
    <w:multiLevelType w:val="hybridMultilevel"/>
    <w:tmpl w:val="1E085AC4"/>
    <w:lvl w:ilvl="0" w:tplc="891C8F96">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D655194"/>
    <w:multiLevelType w:val="multilevel"/>
    <w:tmpl w:val="A0B83BDC"/>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51DE6B84"/>
    <w:multiLevelType w:val="hybridMultilevel"/>
    <w:tmpl w:val="928A3ABE"/>
    <w:lvl w:ilvl="0" w:tplc="A61E3D22">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57CC6D7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0" w15:restartNumberingAfterBreak="0">
    <w:nsid w:val="7D6967C6"/>
    <w:multiLevelType w:val="multilevel"/>
    <w:tmpl w:val="83C49B5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393117471">
    <w:abstractNumId w:val="2"/>
  </w:num>
  <w:num w:numId="2" w16cid:durableId="20231944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140078">
    <w:abstractNumId w:val="2"/>
  </w:num>
  <w:num w:numId="4" w16cid:durableId="18502952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96443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91555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71468988">
    <w:abstractNumId w:val="10"/>
  </w:num>
  <w:num w:numId="8" w16cid:durableId="1628966660">
    <w:abstractNumId w:val="6"/>
  </w:num>
  <w:num w:numId="9" w16cid:durableId="686368945">
    <w:abstractNumId w:val="7"/>
  </w:num>
  <w:num w:numId="10" w16cid:durableId="1334335541">
    <w:abstractNumId w:val="5"/>
  </w:num>
  <w:num w:numId="11" w16cid:durableId="2045448469">
    <w:abstractNumId w:val="1"/>
  </w:num>
  <w:num w:numId="12" w16cid:durableId="20682592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3138C"/>
    <w:rsid w:val="00044992"/>
    <w:rsid w:val="00070D03"/>
    <w:rsid w:val="000B2F59"/>
    <w:rsid w:val="000C2466"/>
    <w:rsid w:val="000C6204"/>
    <w:rsid w:val="000E45F4"/>
    <w:rsid w:val="00116F45"/>
    <w:rsid w:val="00134AAE"/>
    <w:rsid w:val="00176D93"/>
    <w:rsid w:val="00197F1B"/>
    <w:rsid w:val="001A1CA1"/>
    <w:rsid w:val="0023493B"/>
    <w:rsid w:val="00236312"/>
    <w:rsid w:val="00253201"/>
    <w:rsid w:val="00277B27"/>
    <w:rsid w:val="0028056A"/>
    <w:rsid w:val="00315BED"/>
    <w:rsid w:val="00334504"/>
    <w:rsid w:val="003441A8"/>
    <w:rsid w:val="00363B0D"/>
    <w:rsid w:val="00364141"/>
    <w:rsid w:val="00395441"/>
    <w:rsid w:val="003C026F"/>
    <w:rsid w:val="00462D0E"/>
    <w:rsid w:val="004B56D2"/>
    <w:rsid w:val="004D0948"/>
    <w:rsid w:val="00511985"/>
    <w:rsid w:val="0052305F"/>
    <w:rsid w:val="00525BDC"/>
    <w:rsid w:val="00526CB3"/>
    <w:rsid w:val="00591135"/>
    <w:rsid w:val="00593900"/>
    <w:rsid w:val="005B4ED8"/>
    <w:rsid w:val="005B5F94"/>
    <w:rsid w:val="005F3CA9"/>
    <w:rsid w:val="005F6E5B"/>
    <w:rsid w:val="005F7D3C"/>
    <w:rsid w:val="00620B7A"/>
    <w:rsid w:val="006A2E46"/>
    <w:rsid w:val="006B2D36"/>
    <w:rsid w:val="006C5C43"/>
    <w:rsid w:val="006D0512"/>
    <w:rsid w:val="006E3C4D"/>
    <w:rsid w:val="006E7FE8"/>
    <w:rsid w:val="007077B5"/>
    <w:rsid w:val="00750ED4"/>
    <w:rsid w:val="007C14D8"/>
    <w:rsid w:val="007C27A8"/>
    <w:rsid w:val="007C3444"/>
    <w:rsid w:val="007C3B37"/>
    <w:rsid w:val="007C4A32"/>
    <w:rsid w:val="007F1F71"/>
    <w:rsid w:val="00816321"/>
    <w:rsid w:val="008416FE"/>
    <w:rsid w:val="00846D5D"/>
    <w:rsid w:val="008A30FA"/>
    <w:rsid w:val="008A6471"/>
    <w:rsid w:val="008B3C97"/>
    <w:rsid w:val="008C401F"/>
    <w:rsid w:val="008E3AE0"/>
    <w:rsid w:val="009138B7"/>
    <w:rsid w:val="00920B56"/>
    <w:rsid w:val="009248F8"/>
    <w:rsid w:val="00956DE7"/>
    <w:rsid w:val="00964F43"/>
    <w:rsid w:val="009F07D8"/>
    <w:rsid w:val="00A0056B"/>
    <w:rsid w:val="00A4711C"/>
    <w:rsid w:val="00A503D3"/>
    <w:rsid w:val="00A51779"/>
    <w:rsid w:val="00A54C5A"/>
    <w:rsid w:val="00A62EAC"/>
    <w:rsid w:val="00AA2DF4"/>
    <w:rsid w:val="00AB035B"/>
    <w:rsid w:val="00AC46E0"/>
    <w:rsid w:val="00B24461"/>
    <w:rsid w:val="00B26E72"/>
    <w:rsid w:val="00B2790B"/>
    <w:rsid w:val="00B704B5"/>
    <w:rsid w:val="00B70B3A"/>
    <w:rsid w:val="00B84168"/>
    <w:rsid w:val="00B87922"/>
    <w:rsid w:val="00B92852"/>
    <w:rsid w:val="00B9305B"/>
    <w:rsid w:val="00BB5D2C"/>
    <w:rsid w:val="00BC3A7E"/>
    <w:rsid w:val="00C5505A"/>
    <w:rsid w:val="00C63FDD"/>
    <w:rsid w:val="00C65693"/>
    <w:rsid w:val="00C74CDB"/>
    <w:rsid w:val="00C87CE3"/>
    <w:rsid w:val="00CE43A9"/>
    <w:rsid w:val="00D11181"/>
    <w:rsid w:val="00D4575F"/>
    <w:rsid w:val="00D6090D"/>
    <w:rsid w:val="00DB6E12"/>
    <w:rsid w:val="00DD793D"/>
    <w:rsid w:val="00DE621D"/>
    <w:rsid w:val="00E20F92"/>
    <w:rsid w:val="00E2550C"/>
    <w:rsid w:val="00E934B9"/>
    <w:rsid w:val="00EB593F"/>
    <w:rsid w:val="00EC6573"/>
    <w:rsid w:val="00EF5720"/>
    <w:rsid w:val="00F446D5"/>
    <w:rsid w:val="00F516FC"/>
    <w:rsid w:val="00F57FC7"/>
    <w:rsid w:val="00F73F8F"/>
    <w:rsid w:val="00FA0655"/>
    <w:rsid w:val="00FA553E"/>
    <w:rsid w:val="00FC40F5"/>
    <w:rsid w:val="00FC5B2F"/>
    <w:rsid w:val="00FD3BF0"/>
    <w:rsid w:val="00FE342D"/>
    <w:rsid w:val="00FF24D1"/>
    <w:rsid w:val="00FF6783"/>
    <w:rsid w:val="6CD620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C008A"/>
  <w15:chartTrackingRefBased/>
  <w15:docId w15:val="{63DBA435-B4F5-40AB-98F5-7086D6F46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Hyperlink">
    <w:name w:val="Hyperlink"/>
    <w:basedOn w:val="DefaultParagraphFont"/>
    <w:uiPriority w:val="99"/>
    <w:semiHidden/>
    <w:unhideWhenUsed/>
    <w:rsid w:val="00DE621D"/>
    <w:rPr>
      <w:color w:val="0000FF"/>
      <w:u w:val="single"/>
    </w:rPr>
  </w:style>
  <w:style w:type="character" w:customStyle="1" w:styleId="Laukeliai">
    <w:name w:val="Laukeliai"/>
    <w:basedOn w:val="DefaultParagraphFont"/>
    <w:uiPriority w:val="1"/>
    <w:qFormat/>
    <w:rsid w:val="00DE621D"/>
    <w:rPr>
      <w:rFonts w:ascii="Arial" w:hAnsi="Arial"/>
      <w:sz w:val="20"/>
    </w:rPr>
  </w:style>
  <w:style w:type="table" w:customStyle="1" w:styleId="TableGrid1">
    <w:name w:val="Table Grid1"/>
    <w:basedOn w:val="TableNormal"/>
    <w:uiPriority w:val="39"/>
    <w:rsid w:val="00DE621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3F8F"/>
    <w:rPr>
      <w:sz w:val="16"/>
      <w:szCs w:val="16"/>
    </w:rPr>
  </w:style>
  <w:style w:type="paragraph" w:styleId="CommentText">
    <w:name w:val="annotation text"/>
    <w:basedOn w:val="Normal"/>
    <w:link w:val="CommentTextChar"/>
    <w:uiPriority w:val="99"/>
    <w:unhideWhenUsed/>
    <w:rsid w:val="00F73F8F"/>
    <w:pPr>
      <w:spacing w:line="240" w:lineRule="auto"/>
    </w:pPr>
    <w:rPr>
      <w:sz w:val="20"/>
      <w:szCs w:val="20"/>
    </w:rPr>
  </w:style>
  <w:style w:type="character" w:customStyle="1" w:styleId="CommentTextChar">
    <w:name w:val="Comment Text Char"/>
    <w:basedOn w:val="DefaultParagraphFont"/>
    <w:link w:val="CommentText"/>
    <w:uiPriority w:val="99"/>
    <w:rsid w:val="00F73F8F"/>
    <w:rPr>
      <w:sz w:val="20"/>
      <w:szCs w:val="20"/>
    </w:rPr>
  </w:style>
  <w:style w:type="paragraph" w:styleId="CommentSubject">
    <w:name w:val="annotation subject"/>
    <w:basedOn w:val="CommentText"/>
    <w:next w:val="CommentText"/>
    <w:link w:val="CommentSubjectChar"/>
    <w:uiPriority w:val="99"/>
    <w:semiHidden/>
    <w:unhideWhenUsed/>
    <w:rsid w:val="00F73F8F"/>
    <w:rPr>
      <w:b/>
      <w:bCs/>
    </w:rPr>
  </w:style>
  <w:style w:type="character" w:customStyle="1" w:styleId="CommentSubjectChar">
    <w:name w:val="Comment Subject Char"/>
    <w:basedOn w:val="CommentTextChar"/>
    <w:link w:val="CommentSubject"/>
    <w:uiPriority w:val="99"/>
    <w:semiHidden/>
    <w:rsid w:val="00F73F8F"/>
    <w:rPr>
      <w:b/>
      <w:bCs/>
      <w:sz w:val="20"/>
      <w:szCs w:val="20"/>
    </w:rPr>
  </w:style>
  <w:style w:type="paragraph" w:styleId="Revision">
    <w:name w:val="Revision"/>
    <w:hidden/>
    <w:uiPriority w:val="99"/>
    <w:semiHidden/>
    <w:rsid w:val="000B2F59"/>
    <w:pPr>
      <w:spacing w:after="0" w:line="240" w:lineRule="auto"/>
    </w:pPr>
  </w:style>
  <w:style w:type="character" w:styleId="FollowedHyperlink">
    <w:name w:val="FollowedHyperlink"/>
    <w:basedOn w:val="DefaultParagraphFont"/>
    <w:uiPriority w:val="99"/>
    <w:semiHidden/>
    <w:unhideWhenUsed/>
    <w:rsid w:val="006C5C43"/>
    <w:rPr>
      <w:color w:val="954F72" w:themeColor="followedHyperlink"/>
      <w:u w:val="single"/>
    </w:rPr>
  </w:style>
  <w:style w:type="character" w:customStyle="1" w:styleId="font1271">
    <w:name w:val="font1271"/>
    <w:basedOn w:val="DefaultParagraphFont"/>
    <w:rsid w:val="005F6E5B"/>
    <w:rPr>
      <w:rFonts w:ascii="Calibri" w:hAnsi="Calibri" w:cs="Calibri" w:hint="default"/>
      <w:b/>
      <w:bCs/>
      <w:i w:val="0"/>
      <w:iCs w:val="0"/>
      <w:strike w:val="0"/>
      <w:dstrike w:val="0"/>
      <w:color w:val="auto"/>
      <w:sz w:val="24"/>
      <w:szCs w:val="24"/>
      <w:u w:val="none"/>
      <w:effect w:val="none"/>
    </w:rPr>
  </w:style>
  <w:style w:type="character" w:customStyle="1" w:styleId="font1131">
    <w:name w:val="font1131"/>
    <w:basedOn w:val="DefaultParagraphFont"/>
    <w:rsid w:val="005F6E5B"/>
    <w:rPr>
      <w:rFonts w:ascii="Calibri" w:hAnsi="Calibri" w:cs="Calibri" w:hint="default"/>
      <w:b w:val="0"/>
      <w:bCs w:val="0"/>
      <w:i w:val="0"/>
      <w:iCs w:val="0"/>
      <w:strike w:val="0"/>
      <w:dstrike w:val="0"/>
      <w:color w:val="auto"/>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C069D2-EB14-4DF8-8B5D-982690F761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1FBD88-1B3A-46AE-839B-4F27744DE0EA}">
  <ds:schemaRefs>
    <ds:schemaRef ds:uri="http://schemas.microsoft.com/sharepoint/v3/contenttype/forms"/>
  </ds:schemaRefs>
</ds:datastoreItem>
</file>

<file path=customXml/itemProps3.xml><?xml version="1.0" encoding="utf-8"?>
<ds:datastoreItem xmlns:ds="http://schemas.openxmlformats.org/officeDocument/2006/customXml" ds:itemID="{F41D1255-BEED-43AC-BA62-8E3C1321A7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30</TotalTime>
  <Pages>1</Pages>
  <Words>1442</Words>
  <Characters>822</Characters>
  <Application>Microsoft Office Word</Application>
  <DocSecurity>0</DocSecurity>
  <Lines>6</Lines>
  <Paragraphs>4</Paragraphs>
  <ScaleCrop>false</ScaleCrop>
  <Company>UAB TIC</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Jūratė Kaupinienė</cp:lastModifiedBy>
  <cp:revision>83</cp:revision>
  <dcterms:created xsi:type="dcterms:W3CDTF">2019-05-16T23:00:00Z</dcterms:created>
  <dcterms:modified xsi:type="dcterms:W3CDTF">2025-10-06T12:50:00Z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0x01010043E8CAB965D8B64B9970BA8E12001CE6</vt:lpwstr>
  </property>
</Properties>
</file>